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8B4C8" w14:textId="0CF894AF" w:rsidR="00ED21ED" w:rsidRPr="009516FA" w:rsidRDefault="00ED21ED" w:rsidP="00ED21ED">
      <w:pPr>
        <w:widowControl w:val="0"/>
        <w:autoSpaceDE w:val="0"/>
        <w:autoSpaceDN w:val="0"/>
        <w:adjustRightInd w:val="0"/>
        <w:spacing w:after="0" w:line="240" w:lineRule="auto"/>
        <w:rPr>
          <w:rFonts w:ascii="Helvetica" w:hAnsi="Helvetica" w:cs="Times New Roman"/>
          <w:i/>
          <w:color w:val="515151"/>
          <w:sz w:val="20"/>
          <w:szCs w:val="20"/>
        </w:rPr>
      </w:pPr>
    </w:p>
    <w:p w14:paraId="0DA0BB35" w14:textId="77777777" w:rsidR="00AE564E" w:rsidRDefault="00AE564E" w:rsidP="00C9231D">
      <w:pPr>
        <w:widowControl w:val="0"/>
        <w:autoSpaceDE w:val="0"/>
        <w:autoSpaceDN w:val="0"/>
        <w:adjustRightInd w:val="0"/>
        <w:spacing w:after="0" w:line="240" w:lineRule="auto"/>
        <w:rPr>
          <w:rFonts w:ascii="Helvetica" w:hAnsi="Helvetica" w:cs="Times New Roman"/>
          <w:b/>
          <w:color w:val="000000"/>
          <w:sz w:val="20"/>
          <w:szCs w:val="20"/>
        </w:rPr>
      </w:pPr>
    </w:p>
    <w:p w14:paraId="0A612428" w14:textId="77777777" w:rsidR="009516FA" w:rsidRDefault="009516FA" w:rsidP="00D73EB5">
      <w:pPr>
        <w:widowControl w:val="0"/>
        <w:autoSpaceDE w:val="0"/>
        <w:autoSpaceDN w:val="0"/>
        <w:adjustRightInd w:val="0"/>
        <w:spacing w:after="0" w:line="240" w:lineRule="auto"/>
        <w:rPr>
          <w:rFonts w:ascii="Helvetica" w:hAnsi="Helvetica" w:cs="Times New Roman"/>
          <w:color w:val="333333"/>
          <w:sz w:val="20"/>
          <w:szCs w:val="20"/>
        </w:rPr>
        <w:sectPr w:rsidR="009516FA" w:rsidSect="00ED21ED">
          <w:headerReference w:type="default" r:id="rId9"/>
          <w:footerReference w:type="default" r:id="rId10"/>
          <w:pgSz w:w="12240" w:h="15840"/>
          <w:pgMar w:top="1728" w:right="720" w:bottom="1440" w:left="720" w:header="540" w:footer="90" w:gutter="0"/>
          <w:cols w:num="2" w:space="720"/>
          <w:docGrid w:linePitch="360"/>
        </w:sectPr>
      </w:pPr>
    </w:p>
    <w:p w14:paraId="2A00F878" w14:textId="6D33D2A7" w:rsidR="009516FA" w:rsidRPr="009516FA" w:rsidRDefault="009516FA" w:rsidP="009516FA">
      <w:pPr>
        <w:widowControl w:val="0"/>
        <w:autoSpaceDE w:val="0"/>
        <w:autoSpaceDN w:val="0"/>
        <w:adjustRightInd w:val="0"/>
        <w:rPr>
          <w:rFonts w:ascii="Helvetica" w:hAnsi="Helvetica" w:cs="Times New Roman"/>
          <w:color w:val="333333"/>
          <w:sz w:val="20"/>
          <w:szCs w:val="20"/>
        </w:rPr>
      </w:pPr>
      <w:r w:rsidRPr="009516FA">
        <w:rPr>
          <w:rFonts w:ascii="Helvetica" w:hAnsi="Helvetica" w:cs="Times New Roman"/>
          <w:color w:val="333333"/>
          <w:sz w:val="20"/>
          <w:szCs w:val="20"/>
        </w:rPr>
        <w:lastRenderedPageBreak/>
        <w:tab/>
      </w:r>
      <w:r w:rsidR="00EA0FC8">
        <w:rPr>
          <w:rFonts w:ascii="Helvetica" w:hAnsi="Helvetica" w:cs="Times New Roman"/>
          <w:color w:val="333333"/>
          <w:sz w:val="20"/>
          <w:szCs w:val="20"/>
        </w:rPr>
        <w:tab/>
      </w:r>
      <w:r w:rsidR="00EA0FC8">
        <w:rPr>
          <w:rFonts w:ascii="Helvetica" w:hAnsi="Helvetica" w:cs="Times New Roman"/>
          <w:color w:val="333333"/>
          <w:sz w:val="20"/>
          <w:szCs w:val="20"/>
        </w:rPr>
        <w:tab/>
      </w:r>
      <w:r w:rsidR="00EA0FC8">
        <w:rPr>
          <w:rFonts w:ascii="Helvetica" w:hAnsi="Helvetica" w:cs="Times New Roman"/>
          <w:color w:val="333333"/>
          <w:sz w:val="20"/>
          <w:szCs w:val="20"/>
        </w:rPr>
        <w:tab/>
      </w:r>
      <w:r w:rsidR="00EA0FC8">
        <w:rPr>
          <w:rFonts w:ascii="Helvetica" w:hAnsi="Helvetica" w:cs="Times New Roman"/>
          <w:color w:val="333333"/>
          <w:sz w:val="20"/>
          <w:szCs w:val="20"/>
        </w:rPr>
        <w:tab/>
      </w:r>
      <w:r w:rsidR="00EA0FC8">
        <w:rPr>
          <w:rFonts w:ascii="Helvetica" w:hAnsi="Helvetica" w:cs="Times New Roman"/>
          <w:color w:val="333333"/>
          <w:sz w:val="20"/>
          <w:szCs w:val="20"/>
        </w:rPr>
        <w:tab/>
      </w:r>
      <w:r w:rsidR="00EA0FC8">
        <w:rPr>
          <w:rFonts w:ascii="Helvetica" w:hAnsi="Helvetica" w:cs="Times New Roman"/>
          <w:color w:val="333333"/>
          <w:sz w:val="20"/>
          <w:szCs w:val="20"/>
        </w:rPr>
        <w:tab/>
      </w:r>
      <w:r w:rsidR="00EA0FC8">
        <w:rPr>
          <w:rFonts w:ascii="Helvetica" w:hAnsi="Helvetica" w:cs="Times New Roman"/>
          <w:color w:val="333333"/>
          <w:sz w:val="20"/>
          <w:szCs w:val="20"/>
        </w:rPr>
        <w:tab/>
      </w:r>
      <w:r w:rsidR="00EA0FC8">
        <w:rPr>
          <w:rFonts w:ascii="Helvetica" w:hAnsi="Helvetica" w:cs="Times New Roman"/>
          <w:color w:val="333333"/>
          <w:sz w:val="20"/>
          <w:szCs w:val="20"/>
        </w:rPr>
        <w:tab/>
      </w:r>
      <w:r w:rsidR="00EA0FC8">
        <w:rPr>
          <w:rFonts w:ascii="Helvetica" w:hAnsi="Helvetica" w:cs="Times New Roman"/>
          <w:color w:val="333333"/>
          <w:sz w:val="20"/>
          <w:szCs w:val="20"/>
        </w:rPr>
        <w:tab/>
      </w:r>
      <w:r w:rsidR="00EA0FC8">
        <w:rPr>
          <w:rFonts w:ascii="Helvetica" w:hAnsi="Helvetica" w:cs="Times New Roman"/>
          <w:color w:val="333333"/>
          <w:sz w:val="20"/>
          <w:szCs w:val="20"/>
        </w:rPr>
        <w:tab/>
      </w:r>
      <w:r w:rsidRPr="009516FA">
        <w:rPr>
          <w:rFonts w:ascii="Helvetica" w:hAnsi="Helvetica" w:cs="Times New Roman"/>
          <w:color w:val="333333"/>
          <w:sz w:val="20"/>
          <w:szCs w:val="20"/>
        </w:rPr>
        <w:t>&lt;DATE&gt;</w:t>
      </w:r>
    </w:p>
    <w:p w14:paraId="0248CDD1" w14:textId="77777777" w:rsidR="009516FA" w:rsidRPr="009516FA" w:rsidRDefault="009516FA" w:rsidP="009516FA">
      <w:pPr>
        <w:widowControl w:val="0"/>
        <w:autoSpaceDE w:val="0"/>
        <w:autoSpaceDN w:val="0"/>
        <w:adjustRightInd w:val="0"/>
        <w:rPr>
          <w:rFonts w:ascii="Helvetica" w:hAnsi="Helvetica" w:cs="Times New Roman"/>
          <w:color w:val="333333"/>
          <w:sz w:val="20"/>
          <w:szCs w:val="20"/>
        </w:rPr>
      </w:pPr>
      <w:r w:rsidRPr="00EA0FC8">
        <w:rPr>
          <w:rFonts w:ascii="Helvetica" w:hAnsi="Helvetica" w:cs="Times New Roman"/>
          <w:b/>
          <w:color w:val="333333"/>
          <w:sz w:val="20"/>
          <w:szCs w:val="20"/>
        </w:rPr>
        <w:t>To:</w:t>
      </w:r>
      <w:r w:rsidRPr="00EA0FC8">
        <w:rPr>
          <w:rFonts w:ascii="Helvetica" w:hAnsi="Helvetica" w:cs="Times New Roman"/>
          <w:b/>
          <w:color w:val="333333"/>
          <w:sz w:val="20"/>
          <w:szCs w:val="20"/>
        </w:rPr>
        <w:tab/>
      </w:r>
      <w:r w:rsidRPr="009516FA">
        <w:rPr>
          <w:rFonts w:ascii="Helvetica" w:hAnsi="Helvetica" w:cs="Times New Roman"/>
          <w:color w:val="333333"/>
          <w:sz w:val="20"/>
          <w:szCs w:val="20"/>
        </w:rPr>
        <w:t>Distribution</w:t>
      </w:r>
    </w:p>
    <w:p w14:paraId="3E0C8392" w14:textId="77777777" w:rsidR="009516FA" w:rsidRPr="009516FA" w:rsidRDefault="009516FA" w:rsidP="009516FA">
      <w:pPr>
        <w:widowControl w:val="0"/>
        <w:autoSpaceDE w:val="0"/>
        <w:autoSpaceDN w:val="0"/>
        <w:adjustRightInd w:val="0"/>
        <w:rPr>
          <w:rFonts w:ascii="Helvetica" w:hAnsi="Helvetica" w:cs="Times New Roman"/>
          <w:color w:val="333333"/>
          <w:sz w:val="20"/>
          <w:szCs w:val="20"/>
        </w:rPr>
      </w:pPr>
      <w:proofErr w:type="spellStart"/>
      <w:r w:rsidRPr="00EA0FC8">
        <w:rPr>
          <w:rFonts w:ascii="Helvetica" w:hAnsi="Helvetica" w:cs="Times New Roman"/>
          <w:b/>
          <w:color w:val="333333"/>
          <w:sz w:val="20"/>
          <w:szCs w:val="20"/>
        </w:rPr>
        <w:t>Fr</w:t>
      </w:r>
      <w:proofErr w:type="spellEnd"/>
      <w:r w:rsidRPr="00EA0FC8">
        <w:rPr>
          <w:rFonts w:ascii="Helvetica" w:hAnsi="Helvetica" w:cs="Times New Roman"/>
          <w:b/>
          <w:color w:val="333333"/>
          <w:sz w:val="20"/>
          <w:szCs w:val="20"/>
        </w:rPr>
        <w:t>:</w:t>
      </w:r>
      <w:r w:rsidRPr="009516FA">
        <w:rPr>
          <w:rFonts w:ascii="Helvetica" w:hAnsi="Helvetica" w:cs="Times New Roman"/>
          <w:color w:val="333333"/>
          <w:sz w:val="20"/>
          <w:szCs w:val="20"/>
        </w:rPr>
        <w:tab/>
        <w:t>&lt;Name&gt;</w:t>
      </w:r>
    </w:p>
    <w:p w14:paraId="01205E2C" w14:textId="77777777" w:rsidR="009516FA" w:rsidRPr="009516FA" w:rsidRDefault="009516FA" w:rsidP="009516FA">
      <w:pPr>
        <w:widowControl w:val="0"/>
        <w:autoSpaceDE w:val="0"/>
        <w:autoSpaceDN w:val="0"/>
        <w:adjustRightInd w:val="0"/>
        <w:rPr>
          <w:rFonts w:ascii="Helvetica" w:hAnsi="Helvetica" w:cs="Times New Roman"/>
          <w:color w:val="333333"/>
          <w:sz w:val="20"/>
          <w:szCs w:val="20"/>
        </w:rPr>
      </w:pPr>
      <w:r w:rsidRPr="00EA0FC8">
        <w:rPr>
          <w:rFonts w:ascii="Helvetica" w:hAnsi="Helvetica" w:cs="Times New Roman"/>
          <w:b/>
          <w:color w:val="333333"/>
          <w:sz w:val="20"/>
          <w:szCs w:val="20"/>
        </w:rPr>
        <w:t>Re:</w:t>
      </w:r>
      <w:r w:rsidRPr="009516FA">
        <w:rPr>
          <w:rFonts w:ascii="Helvetica" w:hAnsi="Helvetica" w:cs="Times New Roman"/>
          <w:color w:val="333333"/>
          <w:sz w:val="20"/>
          <w:szCs w:val="20"/>
        </w:rPr>
        <w:tab/>
        <w:t>Announcement of Membership in the Red Cross Ready Rating Program</w:t>
      </w:r>
    </w:p>
    <w:p w14:paraId="51C97834" w14:textId="638924A6" w:rsidR="009516FA" w:rsidRPr="009516FA" w:rsidRDefault="009516FA" w:rsidP="00EA0FC8">
      <w:pPr>
        <w:widowControl w:val="0"/>
        <w:autoSpaceDE w:val="0"/>
        <w:autoSpaceDN w:val="0"/>
        <w:adjustRightInd w:val="0"/>
        <w:ind w:left="720"/>
        <w:rPr>
          <w:rFonts w:ascii="Helvetica" w:hAnsi="Helvetica" w:cs="Times New Roman"/>
          <w:color w:val="333333"/>
          <w:sz w:val="20"/>
          <w:szCs w:val="20"/>
        </w:rPr>
      </w:pPr>
      <w:r w:rsidRPr="009516FA">
        <w:rPr>
          <w:rFonts w:ascii="Helvetica" w:hAnsi="Helvetica" w:cs="Times New Roman"/>
          <w:color w:val="333333"/>
          <w:sz w:val="20"/>
          <w:szCs w:val="20"/>
        </w:rPr>
        <w:t>As part of our commitment to the health and safety of our staff, I am pleased to announce that we have joined a Red Cross program that promises to help us continually improve our response to a wide range of possible emergencies.</w:t>
      </w:r>
    </w:p>
    <w:p w14:paraId="391541E7" w14:textId="1F4FDBC9" w:rsidR="009516FA" w:rsidRPr="009516FA" w:rsidRDefault="009516FA" w:rsidP="00EA0FC8">
      <w:pPr>
        <w:widowControl w:val="0"/>
        <w:autoSpaceDE w:val="0"/>
        <w:autoSpaceDN w:val="0"/>
        <w:adjustRightInd w:val="0"/>
        <w:ind w:left="720"/>
        <w:rPr>
          <w:rFonts w:ascii="Helvetica" w:hAnsi="Helvetica" w:cs="Times New Roman"/>
          <w:color w:val="333333"/>
          <w:sz w:val="20"/>
          <w:szCs w:val="20"/>
        </w:rPr>
      </w:pPr>
      <w:r w:rsidRPr="009516FA">
        <w:rPr>
          <w:rFonts w:ascii="Helvetica" w:hAnsi="Helvetica" w:cs="Times New Roman"/>
          <w:color w:val="333333"/>
          <w:sz w:val="20"/>
          <w:szCs w:val="20"/>
        </w:rPr>
        <w:t>Known as the Ready Rating Program, we are joining more than 12,000 other organizations that see the benefit of participation in this initiative.</w:t>
      </w:r>
    </w:p>
    <w:p w14:paraId="55AF670A" w14:textId="669B41AF" w:rsidR="00EA0FC8" w:rsidRPr="00EA0FC8" w:rsidRDefault="009516FA" w:rsidP="00EA0FC8">
      <w:pPr>
        <w:widowControl w:val="0"/>
        <w:autoSpaceDE w:val="0"/>
        <w:autoSpaceDN w:val="0"/>
        <w:adjustRightInd w:val="0"/>
        <w:rPr>
          <w:rFonts w:ascii="Helvetica" w:hAnsi="Helvetica" w:cs="Times New Roman"/>
          <w:color w:val="333333"/>
          <w:sz w:val="20"/>
          <w:szCs w:val="20"/>
        </w:rPr>
      </w:pPr>
      <w:r w:rsidRPr="009516FA">
        <w:rPr>
          <w:rFonts w:ascii="Helvetica" w:hAnsi="Helvetica" w:cs="Times New Roman"/>
          <w:color w:val="333333"/>
          <w:sz w:val="20"/>
          <w:szCs w:val="20"/>
        </w:rPr>
        <w:tab/>
        <w:t>There are several components of the program that we find valuable and caused us to join including:</w:t>
      </w:r>
    </w:p>
    <w:p w14:paraId="78ACDAC5" w14:textId="77777777" w:rsidR="00EA0FC8" w:rsidRDefault="00EA0FC8" w:rsidP="00EA0FC8">
      <w:pPr>
        <w:widowControl w:val="0"/>
        <w:autoSpaceDE w:val="0"/>
        <w:autoSpaceDN w:val="0"/>
        <w:adjustRightInd w:val="0"/>
        <w:ind w:firstLine="720"/>
        <w:rPr>
          <w:rFonts w:ascii="Helvetica" w:hAnsi="Helvetica" w:cs="Times New Roman"/>
          <w:b/>
          <w:color w:val="333333"/>
          <w:sz w:val="20"/>
          <w:szCs w:val="20"/>
        </w:rPr>
      </w:pPr>
    </w:p>
    <w:p w14:paraId="068EA15F" w14:textId="77777777" w:rsidR="009516FA" w:rsidRPr="009516FA" w:rsidRDefault="009516FA" w:rsidP="00EA0FC8">
      <w:pPr>
        <w:widowControl w:val="0"/>
        <w:autoSpaceDE w:val="0"/>
        <w:autoSpaceDN w:val="0"/>
        <w:adjustRightInd w:val="0"/>
        <w:ind w:firstLine="720"/>
        <w:rPr>
          <w:rFonts w:ascii="Helvetica" w:hAnsi="Helvetica" w:cs="Times New Roman"/>
          <w:color w:val="333333"/>
          <w:sz w:val="20"/>
          <w:szCs w:val="20"/>
        </w:rPr>
      </w:pPr>
      <w:proofErr w:type="gramStart"/>
      <w:r w:rsidRPr="009516FA">
        <w:rPr>
          <w:rFonts w:ascii="Helvetica" w:hAnsi="Helvetica" w:cs="Times New Roman"/>
          <w:b/>
          <w:color w:val="333333"/>
          <w:sz w:val="20"/>
          <w:szCs w:val="20"/>
        </w:rPr>
        <w:t>Access to Two Emergency Response Assessments.</w:t>
      </w:r>
      <w:proofErr w:type="gramEnd"/>
    </w:p>
    <w:p w14:paraId="4510CD3D" w14:textId="4A818A16" w:rsidR="00EA0FC8" w:rsidRPr="00EA0FC8" w:rsidRDefault="009516FA" w:rsidP="00EA0FC8">
      <w:pPr>
        <w:widowControl w:val="0"/>
        <w:autoSpaceDE w:val="0"/>
        <w:autoSpaceDN w:val="0"/>
        <w:adjustRightInd w:val="0"/>
        <w:ind w:left="1440"/>
        <w:rPr>
          <w:rFonts w:ascii="Helvetica" w:hAnsi="Helvetica" w:cs="Times New Roman"/>
          <w:color w:val="333333"/>
          <w:sz w:val="20"/>
          <w:szCs w:val="20"/>
        </w:rPr>
      </w:pPr>
      <w:r w:rsidRPr="009516FA">
        <w:rPr>
          <w:rFonts w:ascii="Helvetica" w:hAnsi="Helvetica" w:cs="Times New Roman"/>
          <w:color w:val="333333"/>
          <w:sz w:val="20"/>
          <w:szCs w:val="20"/>
        </w:rPr>
        <w:t xml:space="preserve">Known as </w:t>
      </w:r>
      <w:proofErr w:type="spellStart"/>
      <w:r w:rsidRPr="009516FA">
        <w:rPr>
          <w:rFonts w:ascii="Helvetica" w:hAnsi="Helvetica" w:cs="Times New Roman"/>
          <w:b/>
          <w:color w:val="333333"/>
          <w:sz w:val="20"/>
          <w:szCs w:val="20"/>
        </w:rPr>
        <w:t>ReadyGo</w:t>
      </w:r>
      <w:proofErr w:type="spellEnd"/>
      <w:r w:rsidRPr="009516FA">
        <w:rPr>
          <w:rFonts w:ascii="Helvetica" w:hAnsi="Helvetica" w:cs="Times New Roman"/>
          <w:color w:val="333333"/>
          <w:sz w:val="20"/>
          <w:szCs w:val="20"/>
        </w:rPr>
        <w:t xml:space="preserve"> and </w:t>
      </w:r>
      <w:proofErr w:type="spellStart"/>
      <w:r w:rsidRPr="009516FA">
        <w:rPr>
          <w:rFonts w:ascii="Helvetica" w:hAnsi="Helvetica" w:cs="Times New Roman"/>
          <w:b/>
          <w:color w:val="333333"/>
          <w:sz w:val="20"/>
          <w:szCs w:val="20"/>
        </w:rPr>
        <w:t>ReadyAdvance</w:t>
      </w:r>
      <w:proofErr w:type="spellEnd"/>
      <w:r w:rsidRPr="009516FA">
        <w:rPr>
          <w:rFonts w:ascii="Helvetica" w:hAnsi="Helvetica" w:cs="Times New Roman"/>
          <w:b/>
          <w:color w:val="333333"/>
          <w:sz w:val="20"/>
          <w:szCs w:val="20"/>
        </w:rPr>
        <w:t xml:space="preserve">, </w:t>
      </w:r>
      <w:r w:rsidRPr="009516FA">
        <w:rPr>
          <w:rFonts w:ascii="Helvetica" w:hAnsi="Helvetica" w:cs="Times New Roman"/>
          <w:color w:val="333333"/>
          <w:sz w:val="20"/>
          <w:szCs w:val="20"/>
        </w:rPr>
        <w:t xml:space="preserve">these no-cost assessments will help us pinpoint areas in our emergency programs that need attention, while also providing specific advice on how to proceed to make the improvements. These assessments generate a report that measures our program against some international standards and provides specific recommendations on how to improve. We can continue to take these assessments going forward and track our progress  </w:t>
      </w:r>
    </w:p>
    <w:p w14:paraId="1A51BAD8" w14:textId="77777777" w:rsidR="00EA0FC8" w:rsidRDefault="00EA0FC8" w:rsidP="00EA0FC8">
      <w:pPr>
        <w:widowControl w:val="0"/>
        <w:autoSpaceDE w:val="0"/>
        <w:autoSpaceDN w:val="0"/>
        <w:adjustRightInd w:val="0"/>
        <w:ind w:firstLine="720"/>
        <w:rPr>
          <w:rFonts w:ascii="Helvetica" w:hAnsi="Helvetica" w:cs="Times New Roman"/>
          <w:b/>
          <w:color w:val="333333"/>
          <w:sz w:val="20"/>
          <w:szCs w:val="20"/>
        </w:rPr>
      </w:pPr>
    </w:p>
    <w:p w14:paraId="04F2FBB9" w14:textId="77777777" w:rsidR="009516FA" w:rsidRPr="009516FA" w:rsidRDefault="009516FA" w:rsidP="00EA0FC8">
      <w:pPr>
        <w:widowControl w:val="0"/>
        <w:autoSpaceDE w:val="0"/>
        <w:autoSpaceDN w:val="0"/>
        <w:adjustRightInd w:val="0"/>
        <w:ind w:firstLine="720"/>
        <w:rPr>
          <w:rFonts w:ascii="Helvetica" w:hAnsi="Helvetica" w:cs="Times New Roman"/>
          <w:color w:val="333333"/>
          <w:sz w:val="20"/>
          <w:szCs w:val="20"/>
        </w:rPr>
      </w:pPr>
      <w:r w:rsidRPr="009516FA">
        <w:rPr>
          <w:rFonts w:ascii="Helvetica" w:hAnsi="Helvetica" w:cs="Times New Roman"/>
          <w:b/>
          <w:color w:val="333333"/>
          <w:sz w:val="20"/>
          <w:szCs w:val="20"/>
        </w:rPr>
        <w:t>Customizable Emergency Action Plans</w:t>
      </w:r>
    </w:p>
    <w:p w14:paraId="7294D09E" w14:textId="77777777" w:rsidR="00EA0FC8" w:rsidRPr="00EA0FC8" w:rsidRDefault="009516FA" w:rsidP="00EA0FC8">
      <w:pPr>
        <w:widowControl w:val="0"/>
        <w:autoSpaceDE w:val="0"/>
        <w:autoSpaceDN w:val="0"/>
        <w:adjustRightInd w:val="0"/>
        <w:ind w:left="1440"/>
        <w:rPr>
          <w:rFonts w:ascii="Helvetica" w:hAnsi="Helvetica" w:cs="Times New Roman"/>
          <w:color w:val="333333"/>
          <w:sz w:val="20"/>
          <w:szCs w:val="20"/>
        </w:rPr>
      </w:pPr>
      <w:r w:rsidRPr="009516FA">
        <w:rPr>
          <w:rFonts w:ascii="Helvetica" w:hAnsi="Helvetica" w:cs="Times New Roman"/>
          <w:color w:val="333333"/>
          <w:sz w:val="20"/>
          <w:szCs w:val="20"/>
        </w:rPr>
        <w:t xml:space="preserve">The Occupational Safety and Health Administration (OSHA) </w:t>
      </w:r>
      <w:proofErr w:type="gramStart"/>
      <w:r w:rsidRPr="009516FA">
        <w:rPr>
          <w:rFonts w:ascii="Helvetica" w:hAnsi="Helvetica" w:cs="Times New Roman"/>
          <w:color w:val="333333"/>
          <w:sz w:val="20"/>
          <w:szCs w:val="20"/>
        </w:rPr>
        <w:t>has</w:t>
      </w:r>
      <w:proofErr w:type="gramEnd"/>
      <w:r w:rsidRPr="009516FA">
        <w:rPr>
          <w:rFonts w:ascii="Helvetica" w:hAnsi="Helvetica" w:cs="Times New Roman"/>
          <w:color w:val="333333"/>
          <w:sz w:val="20"/>
          <w:szCs w:val="20"/>
        </w:rPr>
        <w:t xml:space="preserve"> a rule in place that mandates every organization to have an emergency action plan (EAP). While smaller sites can verbally discuss their plan, operations with ten or more staff members must have a written plan that is available for review by all employees. </w:t>
      </w:r>
      <w:r w:rsidRPr="009516FA">
        <w:rPr>
          <w:rFonts w:ascii="Helvetica" w:hAnsi="Helvetica" w:cs="Times New Roman"/>
          <w:color w:val="333333"/>
          <w:sz w:val="20"/>
          <w:szCs w:val="20"/>
        </w:rPr>
        <w:br/>
      </w:r>
      <w:r w:rsidRPr="009516FA">
        <w:rPr>
          <w:rFonts w:ascii="Helvetica" w:hAnsi="Helvetica" w:cs="Times New Roman"/>
          <w:color w:val="333333"/>
          <w:sz w:val="20"/>
          <w:szCs w:val="20"/>
        </w:rPr>
        <w:br/>
      </w:r>
      <w:r w:rsidR="00EA0FC8" w:rsidRPr="00EA0FC8">
        <w:rPr>
          <w:rFonts w:ascii="Helvetica" w:hAnsi="Helvetica" w:cs="Times New Roman"/>
          <w:color w:val="333333"/>
          <w:sz w:val="20"/>
          <w:szCs w:val="20"/>
        </w:rPr>
        <w:t xml:space="preserve">The Ready Rating program gives us access to two versions of an emergency action plan – each of which is fully customizable. The templates are accessible online and can be downloaded for customization to our needs. Each of these two plans </w:t>
      </w:r>
      <w:proofErr w:type="gramStart"/>
      <w:r w:rsidR="00EA0FC8" w:rsidRPr="00EA0FC8">
        <w:rPr>
          <w:rFonts w:ascii="Helvetica" w:hAnsi="Helvetica" w:cs="Times New Roman"/>
          <w:color w:val="333333"/>
          <w:sz w:val="20"/>
          <w:szCs w:val="20"/>
        </w:rPr>
        <w:t>exceed</w:t>
      </w:r>
      <w:proofErr w:type="gramEnd"/>
      <w:r w:rsidR="00EA0FC8" w:rsidRPr="00EA0FC8">
        <w:rPr>
          <w:rFonts w:ascii="Helvetica" w:hAnsi="Helvetica" w:cs="Times New Roman"/>
          <w:color w:val="333333"/>
          <w:sz w:val="20"/>
          <w:szCs w:val="20"/>
        </w:rPr>
        <w:t xml:space="preserve"> the six requirements specified by OSHA for an emergency action plan and position us to meet this important safety regulation.</w:t>
      </w:r>
    </w:p>
    <w:p w14:paraId="4C79ACEF" w14:textId="77777777" w:rsidR="00EA0FC8" w:rsidRDefault="00EA0FC8" w:rsidP="00EA0FC8">
      <w:pPr>
        <w:widowControl w:val="0"/>
        <w:autoSpaceDE w:val="0"/>
        <w:autoSpaceDN w:val="0"/>
        <w:adjustRightInd w:val="0"/>
        <w:ind w:firstLine="720"/>
        <w:rPr>
          <w:rFonts w:ascii="Helvetica" w:hAnsi="Helvetica" w:cs="Times New Roman"/>
          <w:b/>
          <w:color w:val="333333"/>
          <w:sz w:val="20"/>
          <w:szCs w:val="20"/>
        </w:rPr>
      </w:pPr>
    </w:p>
    <w:p w14:paraId="52142420" w14:textId="77777777" w:rsidR="00EA0FC8" w:rsidRPr="00EA0FC8" w:rsidRDefault="00EA0FC8" w:rsidP="00EA0FC8">
      <w:pPr>
        <w:widowControl w:val="0"/>
        <w:autoSpaceDE w:val="0"/>
        <w:autoSpaceDN w:val="0"/>
        <w:adjustRightInd w:val="0"/>
        <w:ind w:firstLine="720"/>
        <w:rPr>
          <w:rFonts w:ascii="Helvetica" w:hAnsi="Helvetica" w:cs="Times New Roman"/>
          <w:color w:val="333333"/>
          <w:sz w:val="20"/>
          <w:szCs w:val="20"/>
        </w:rPr>
      </w:pPr>
      <w:r w:rsidRPr="00EA0FC8">
        <w:rPr>
          <w:rFonts w:ascii="Helvetica" w:hAnsi="Helvetica" w:cs="Times New Roman"/>
          <w:b/>
          <w:color w:val="333333"/>
          <w:sz w:val="20"/>
          <w:szCs w:val="20"/>
        </w:rPr>
        <w:t>Use of a Large Library of Resources</w:t>
      </w:r>
    </w:p>
    <w:p w14:paraId="69BABAA9" w14:textId="77777777" w:rsidR="00EA0FC8" w:rsidRPr="00EA0FC8" w:rsidRDefault="00EA0FC8" w:rsidP="00EA0FC8">
      <w:pPr>
        <w:widowControl w:val="0"/>
        <w:autoSpaceDE w:val="0"/>
        <w:autoSpaceDN w:val="0"/>
        <w:adjustRightInd w:val="0"/>
        <w:ind w:left="1440"/>
        <w:rPr>
          <w:rFonts w:ascii="Helvetica" w:hAnsi="Helvetica" w:cs="Times New Roman"/>
          <w:color w:val="333333"/>
          <w:sz w:val="20"/>
          <w:szCs w:val="20"/>
        </w:rPr>
      </w:pPr>
      <w:r w:rsidRPr="00EA0FC8">
        <w:rPr>
          <w:rFonts w:ascii="Helvetica" w:hAnsi="Helvetica" w:cs="Times New Roman"/>
          <w:color w:val="333333"/>
          <w:sz w:val="20"/>
          <w:szCs w:val="20"/>
        </w:rPr>
        <w:t xml:space="preserve">Membership also entitles us to unrestricted access to a large library of safety and security materials including checklists, videos, presentations, and other emergency planning tools. </w:t>
      </w:r>
    </w:p>
    <w:p w14:paraId="72EC3D10" w14:textId="77777777" w:rsidR="00EA0FC8" w:rsidRDefault="00EA0FC8" w:rsidP="00EA0FC8">
      <w:pPr>
        <w:widowControl w:val="0"/>
        <w:autoSpaceDE w:val="0"/>
        <w:autoSpaceDN w:val="0"/>
        <w:adjustRightInd w:val="0"/>
        <w:ind w:firstLine="720"/>
        <w:rPr>
          <w:rFonts w:ascii="Helvetica" w:hAnsi="Helvetica" w:cs="Times New Roman"/>
          <w:b/>
          <w:color w:val="333333"/>
          <w:sz w:val="20"/>
          <w:szCs w:val="20"/>
        </w:rPr>
      </w:pPr>
    </w:p>
    <w:p w14:paraId="3B97D9D5" w14:textId="77777777" w:rsidR="00EA0FC8" w:rsidRPr="00EA0FC8" w:rsidRDefault="00EA0FC8" w:rsidP="00EA0FC8">
      <w:pPr>
        <w:widowControl w:val="0"/>
        <w:autoSpaceDE w:val="0"/>
        <w:autoSpaceDN w:val="0"/>
        <w:adjustRightInd w:val="0"/>
        <w:ind w:firstLine="720"/>
        <w:rPr>
          <w:rFonts w:ascii="Helvetica" w:hAnsi="Helvetica" w:cs="Times New Roman"/>
          <w:b/>
          <w:color w:val="333333"/>
          <w:sz w:val="20"/>
          <w:szCs w:val="20"/>
        </w:rPr>
      </w:pPr>
      <w:r w:rsidRPr="00EA0FC8">
        <w:rPr>
          <w:rFonts w:ascii="Helvetica" w:hAnsi="Helvetica" w:cs="Times New Roman"/>
          <w:b/>
          <w:color w:val="333333"/>
          <w:sz w:val="20"/>
          <w:szCs w:val="20"/>
        </w:rPr>
        <w:lastRenderedPageBreak/>
        <w:t>Distinctive Membership Logo</w:t>
      </w:r>
    </w:p>
    <w:p w14:paraId="4B8CA48F" w14:textId="77777777" w:rsidR="00EA0FC8" w:rsidRPr="00EA0FC8" w:rsidRDefault="00EA0FC8" w:rsidP="00EA0FC8">
      <w:pPr>
        <w:widowControl w:val="0"/>
        <w:autoSpaceDE w:val="0"/>
        <w:autoSpaceDN w:val="0"/>
        <w:adjustRightInd w:val="0"/>
        <w:ind w:left="1440"/>
        <w:rPr>
          <w:rFonts w:ascii="Helvetica" w:hAnsi="Helvetica" w:cs="Times New Roman"/>
          <w:color w:val="333333"/>
          <w:sz w:val="20"/>
          <w:szCs w:val="20"/>
        </w:rPr>
      </w:pPr>
      <w:r w:rsidRPr="00EA0FC8">
        <w:rPr>
          <w:rFonts w:ascii="Helvetica" w:hAnsi="Helvetica" w:cs="Times New Roman"/>
          <w:color w:val="333333"/>
          <w:sz w:val="20"/>
          <w:szCs w:val="20"/>
        </w:rPr>
        <w:t xml:space="preserve">From a promotional standpoint membership entitles us to use the Ready Rating seal in our offices and online via our website. This is a clear sign that our organization is interested in preparing for and will successfully manage emergencies and disasters that threaten us. </w:t>
      </w:r>
    </w:p>
    <w:p w14:paraId="6D91D62B" w14:textId="77777777" w:rsidR="00EA0FC8" w:rsidRPr="00EA0FC8" w:rsidRDefault="00EA0FC8" w:rsidP="00EA0FC8">
      <w:pPr>
        <w:widowControl w:val="0"/>
        <w:autoSpaceDE w:val="0"/>
        <w:autoSpaceDN w:val="0"/>
        <w:adjustRightInd w:val="0"/>
        <w:rPr>
          <w:rFonts w:ascii="Helvetica" w:hAnsi="Helvetica" w:cs="Times New Roman"/>
          <w:color w:val="333333"/>
          <w:sz w:val="20"/>
          <w:szCs w:val="20"/>
        </w:rPr>
      </w:pPr>
      <w:r w:rsidRPr="00EA0FC8">
        <w:rPr>
          <w:rFonts w:ascii="Helvetica" w:hAnsi="Helvetica" w:cs="Times New Roman"/>
          <w:color w:val="333333"/>
          <w:sz w:val="20"/>
          <w:szCs w:val="20"/>
        </w:rPr>
        <w:t xml:space="preserve">These are just a few of the benefits membership offers. Over the coming weeks you will see and hear more about this </w:t>
      </w:r>
      <w:proofErr w:type="gramStart"/>
      <w:r w:rsidRPr="00EA0FC8">
        <w:rPr>
          <w:rFonts w:ascii="Helvetica" w:hAnsi="Helvetica" w:cs="Times New Roman"/>
          <w:color w:val="333333"/>
          <w:sz w:val="20"/>
          <w:szCs w:val="20"/>
        </w:rPr>
        <w:t>topic</w:t>
      </w:r>
      <w:proofErr w:type="gramEnd"/>
      <w:r w:rsidRPr="00EA0FC8">
        <w:rPr>
          <w:rFonts w:ascii="Helvetica" w:hAnsi="Helvetica" w:cs="Times New Roman"/>
          <w:color w:val="333333"/>
          <w:sz w:val="20"/>
          <w:szCs w:val="20"/>
        </w:rPr>
        <w:t xml:space="preserve">. In the meantime, should you have any questions feel free to contact me </w:t>
      </w:r>
      <w:proofErr w:type="gramStart"/>
      <w:r w:rsidRPr="00EA0FC8">
        <w:rPr>
          <w:rFonts w:ascii="Helvetica" w:hAnsi="Helvetica" w:cs="Times New Roman"/>
          <w:color w:val="333333"/>
          <w:sz w:val="20"/>
          <w:szCs w:val="20"/>
        </w:rPr>
        <w:t>directly.</w:t>
      </w:r>
      <w:proofErr w:type="gramEnd"/>
      <w:r w:rsidRPr="00EA0FC8">
        <w:rPr>
          <w:rFonts w:ascii="Helvetica" w:hAnsi="Helvetica" w:cs="Times New Roman"/>
          <w:color w:val="333333"/>
          <w:sz w:val="20"/>
          <w:szCs w:val="20"/>
        </w:rPr>
        <w:t xml:space="preserve"> </w:t>
      </w:r>
    </w:p>
    <w:p w14:paraId="728CFBD8" w14:textId="28196DC4" w:rsidR="009516FA" w:rsidRDefault="009516FA" w:rsidP="00C9231D">
      <w:pPr>
        <w:widowControl w:val="0"/>
        <w:autoSpaceDE w:val="0"/>
        <w:autoSpaceDN w:val="0"/>
        <w:adjustRightInd w:val="0"/>
        <w:rPr>
          <w:rFonts w:ascii="Helvetica" w:hAnsi="Helvetica" w:cs="Times New Roman"/>
          <w:color w:val="333333"/>
          <w:sz w:val="20"/>
          <w:szCs w:val="20"/>
        </w:rPr>
        <w:sectPr w:rsidR="009516FA" w:rsidSect="009516FA">
          <w:type w:val="continuous"/>
          <w:pgSz w:w="12240" w:h="15840"/>
          <w:pgMar w:top="1728" w:right="720" w:bottom="1440" w:left="720" w:header="540" w:footer="90" w:gutter="0"/>
          <w:cols w:space="720"/>
          <w:docGrid w:linePitch="360"/>
        </w:sectPr>
      </w:pPr>
      <w:bookmarkStart w:id="0" w:name="_GoBack"/>
      <w:bookmarkEnd w:id="0"/>
    </w:p>
    <w:p w14:paraId="4133AECA" w14:textId="4BB4CF99" w:rsidR="00C9231D" w:rsidRPr="00D73EB5" w:rsidRDefault="00C9231D" w:rsidP="00C9231D">
      <w:pPr>
        <w:widowControl w:val="0"/>
        <w:autoSpaceDE w:val="0"/>
        <w:autoSpaceDN w:val="0"/>
        <w:adjustRightInd w:val="0"/>
        <w:rPr>
          <w:rFonts w:ascii="Helvetica" w:hAnsi="Helvetica" w:cs="Times New Roman"/>
          <w:color w:val="333333"/>
          <w:sz w:val="20"/>
          <w:szCs w:val="20"/>
        </w:rPr>
      </w:pPr>
    </w:p>
    <w:p w14:paraId="7ABCA147" w14:textId="77777777" w:rsidR="00AE564E" w:rsidRPr="00C9231D" w:rsidRDefault="00AE564E" w:rsidP="00C9231D">
      <w:pPr>
        <w:widowControl w:val="0"/>
        <w:autoSpaceDE w:val="0"/>
        <w:autoSpaceDN w:val="0"/>
        <w:adjustRightInd w:val="0"/>
        <w:rPr>
          <w:rFonts w:ascii="Helvetica" w:hAnsi="Helvetica"/>
          <w:sz w:val="20"/>
          <w:szCs w:val="20"/>
        </w:rPr>
      </w:pPr>
    </w:p>
    <w:sectPr w:rsidR="00AE564E" w:rsidRPr="00C9231D" w:rsidSect="009516FA">
      <w:type w:val="continuous"/>
      <w:pgSz w:w="12240" w:h="15840"/>
      <w:pgMar w:top="1728" w:right="720" w:bottom="1440" w:left="720" w:header="540" w:footer="9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3D11B" w14:textId="77777777" w:rsidR="009516FA" w:rsidRDefault="009516FA" w:rsidP="001E09EE">
      <w:pPr>
        <w:spacing w:after="0" w:line="240" w:lineRule="auto"/>
      </w:pPr>
      <w:r>
        <w:separator/>
      </w:r>
    </w:p>
  </w:endnote>
  <w:endnote w:type="continuationSeparator" w:id="0">
    <w:p w14:paraId="462FFCE6" w14:textId="77777777" w:rsidR="009516FA" w:rsidRDefault="009516FA" w:rsidP="001E0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C8B3A" w14:textId="77777777" w:rsidR="009516FA" w:rsidRPr="00CD0203" w:rsidRDefault="009516FA" w:rsidP="0021337A">
    <w:pPr>
      <w:spacing w:after="0"/>
      <w:rPr>
        <w:rFonts w:ascii="Arial" w:eastAsia="Times New Roman" w:hAnsi="Arial" w:cs="Times New Roman"/>
        <w:color w:val="808080" w:themeColor="background1" w:themeShade="80"/>
        <w:sz w:val="16"/>
        <w:szCs w:val="16"/>
      </w:rPr>
    </w:pPr>
    <w:r w:rsidRPr="00CD0203">
      <w:rPr>
        <w:rFonts w:ascii="Arial" w:hAnsi="Arial" w:cs="Arial"/>
        <w:i/>
        <w:iCs/>
        <w:noProof/>
        <w:color w:val="808080" w:themeColor="background1" w:themeShade="80"/>
        <w:sz w:val="16"/>
        <w:szCs w:val="16"/>
      </w:rPr>
      <w:drawing>
        <wp:anchor distT="0" distB="0" distL="114300" distR="114300" simplePos="0" relativeHeight="251667968" behindDoc="0" locked="0" layoutInCell="1" allowOverlap="1" wp14:anchorId="42F1B38D" wp14:editId="4D82073B">
          <wp:simplePos x="0" y="0"/>
          <wp:positionH relativeFrom="column">
            <wp:posOffset>5937250</wp:posOffset>
          </wp:positionH>
          <wp:positionV relativeFrom="paragraph">
            <wp:posOffset>10160</wp:posOffset>
          </wp:positionV>
          <wp:extent cx="1040130" cy="349250"/>
          <wp:effectExtent l="0" t="0" r="1270" b="6350"/>
          <wp:wrapThrough wrapText="bothSides">
            <wp:wrapPolygon edited="0">
              <wp:start x="527" y="0"/>
              <wp:lineTo x="0" y="4713"/>
              <wp:lineTo x="0" y="15709"/>
              <wp:lineTo x="1582" y="20422"/>
              <wp:lineTo x="5275" y="20422"/>
              <wp:lineTo x="21099" y="17280"/>
              <wp:lineTo x="21099" y="3142"/>
              <wp:lineTo x="5802" y="0"/>
              <wp:lineTo x="52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34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0203">
      <w:rPr>
        <w:rFonts w:ascii="Arial" w:eastAsia="Times New Roman" w:hAnsi="Arial" w:cs="Times New Roman"/>
        <w:color w:val="808080" w:themeColor="background1" w:themeShade="80"/>
        <w:sz w:val="16"/>
        <w:szCs w:val="16"/>
        <w:shd w:val="clear" w:color="auto" w:fill="FFFFFF"/>
      </w:rPr>
      <w:t>NOTE</w:t>
    </w:r>
    <w:r w:rsidRPr="00CD0203">
      <w:rPr>
        <w:rFonts w:ascii="Arial" w:eastAsia="Times New Roman" w:hAnsi="Arial" w:cs="Times New Roman"/>
        <w:b/>
        <w:bCs/>
        <w:color w:val="808080" w:themeColor="background1" w:themeShade="80"/>
        <w:sz w:val="16"/>
        <w:szCs w:val="16"/>
        <w:bdr w:val="none" w:sz="0" w:space="0" w:color="auto" w:frame="1"/>
        <w:shd w:val="clear" w:color="auto" w:fill="FFFFFF"/>
      </w:rPr>
      <w:t>:</w:t>
    </w:r>
    <w:r w:rsidRPr="00CD0203">
      <w:rPr>
        <w:rFonts w:ascii="Arial" w:eastAsia="Times New Roman" w:hAnsi="Arial" w:cs="Times New Roman"/>
        <w:color w:val="808080" w:themeColor="background1" w:themeShade="80"/>
        <w:sz w:val="16"/>
        <w:szCs w:val="16"/>
        <w:shd w:val="clear" w:color="auto" w:fill="FFFFFF"/>
      </w:rPr>
      <w:t xml:space="preserve"> You are welcome to modify, copy, reproduce, republish, upload, post, transmit or distribute the materials </w:t>
    </w:r>
    <w:r w:rsidRPr="00CD0203">
      <w:rPr>
        <w:rFonts w:ascii="Arial" w:eastAsia="Times New Roman" w:hAnsi="Arial" w:cs="Times New Roman"/>
        <w:color w:val="808080" w:themeColor="background1" w:themeShade="80"/>
        <w:sz w:val="16"/>
        <w:szCs w:val="16"/>
        <w:shd w:val="clear" w:color="auto" w:fill="FFFFFF"/>
      </w:rPr>
      <w:br/>
      <w:t>found on the Ready Rating Resource Center provided that you include the following copyright notice on your use:</w:t>
    </w:r>
  </w:p>
  <w:p w14:paraId="117297A1" w14:textId="5E1A0677" w:rsidR="009516FA" w:rsidRPr="0021337A" w:rsidRDefault="009516FA" w:rsidP="0021337A">
    <w:pPr>
      <w:rPr>
        <w:rFonts w:ascii="Times" w:eastAsia="Times New Roman" w:hAnsi="Times" w:cs="Times New Roman"/>
        <w:sz w:val="16"/>
        <w:szCs w:val="16"/>
      </w:rPr>
    </w:pPr>
    <w:r>
      <w:rPr>
        <w:rFonts w:ascii="Arial" w:hAnsi="Arial" w:cs="Arial"/>
        <w:i/>
        <w:iCs/>
        <w:color w:val="808080" w:themeColor="background1" w:themeShade="80"/>
        <w:sz w:val="16"/>
        <w:szCs w:val="16"/>
      </w:rPr>
      <w:br/>
    </w:r>
    <w:r w:rsidRPr="00CD0203">
      <w:rPr>
        <w:rFonts w:ascii="Arial" w:hAnsi="Arial" w:cs="Arial"/>
        <w:i/>
        <w:iCs/>
        <w:noProof/>
        <w:color w:val="808080" w:themeColor="background1" w:themeShade="80"/>
        <w:sz w:val="16"/>
        <w:szCs w:val="16"/>
      </w:rPr>
      <mc:AlternateContent>
        <mc:Choice Requires="wps">
          <w:drawing>
            <wp:anchor distT="0" distB="0" distL="114300" distR="114300" simplePos="0" relativeHeight="251668992" behindDoc="0" locked="0" layoutInCell="1" allowOverlap="1" wp14:anchorId="105C4890" wp14:editId="3F5885E4">
              <wp:simplePos x="0" y="0"/>
              <wp:positionH relativeFrom="column">
                <wp:posOffset>4191000</wp:posOffset>
              </wp:positionH>
              <wp:positionV relativeFrom="paragraph">
                <wp:posOffset>212090</wp:posOffset>
              </wp:positionV>
              <wp:extent cx="300355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0355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17ED02" w14:textId="77777777" w:rsidR="009516FA" w:rsidRPr="00CD0203" w:rsidRDefault="009516FA" w:rsidP="0021337A">
                          <w:pPr>
                            <w:jc w:val="right"/>
                            <w:rPr>
                              <w:sz w:val="16"/>
                              <w:szCs w:val="16"/>
                            </w:rPr>
                          </w:pPr>
                          <w:r w:rsidRPr="00CD0203">
                            <w:rPr>
                              <w:rFonts w:ascii="Arial" w:eastAsia="Times New Roman" w:hAnsi="Arial" w:cs="Lucida Grande"/>
                              <w:color w:val="808080" w:themeColor="background1" w:themeShade="80"/>
                              <w:sz w:val="16"/>
                              <w:szCs w:val="16"/>
                            </w:rPr>
                            <w:t>Find tools at ReadyRating.com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30pt;margin-top:16.7pt;width:236.5pt;height:18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2K8c8CAAAOBgAADgAAAGRycy9lMm9Eb2MueG1srFRLb9swDL4P2H8QdE9tJ07X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" filled="f" stroked="f">
              <v:textbox>
                <w:txbxContent>
                  <w:p w14:paraId="1D17ED02" w14:textId="77777777" w:rsidR="009516FA" w:rsidRPr="00CD0203" w:rsidRDefault="009516FA" w:rsidP="0021337A">
                    <w:pPr>
                      <w:jc w:val="right"/>
                      <w:rPr>
                        <w:sz w:val="16"/>
                        <w:szCs w:val="16"/>
                      </w:rPr>
                    </w:pPr>
                    <w:r w:rsidRPr="00CD0203">
                      <w:rPr>
                        <w:rFonts w:ascii="Arial" w:eastAsia="Times New Roman" w:hAnsi="Arial" w:cs="Lucida Grande"/>
                        <w:color w:val="808080" w:themeColor="background1" w:themeShade="80"/>
                        <w:sz w:val="16"/>
                        <w:szCs w:val="16"/>
                      </w:rPr>
                      <w:t>Find tools at ReadyRating.com</w:t>
                    </w:r>
                  </w:p>
                </w:txbxContent>
              </v:textbox>
            </v:shape>
          </w:pict>
        </mc:Fallback>
      </mc:AlternateContent>
    </w:r>
    <w:r w:rsidRPr="00CD0203">
      <w:rPr>
        <w:rFonts w:ascii="Arial" w:hAnsi="Arial" w:cs="Arial"/>
        <w:i/>
        <w:iCs/>
        <w:color w:val="808080" w:themeColor="background1" w:themeShade="80"/>
        <w:sz w:val="16"/>
        <w:szCs w:val="16"/>
      </w:rPr>
      <w:t>Courtesy of The American Red Cross. © 2015 The American National Red Cross. All rights reserved.</w:t>
    </w:r>
    <w:r w:rsidRPr="00CD0203">
      <w:rPr>
        <w:rFonts w:ascii="Arial" w:hAnsi="Arial" w:cs="Arial"/>
        <w:i/>
        <w:iCs/>
        <w:color w:val="808080" w:themeColor="background1" w:themeShade="80"/>
        <w:sz w:val="16"/>
        <w:szCs w:val="16"/>
      </w:rPr>
      <w:br/>
      <w:t>Adaptation by __________________________.</w:t>
    </w:r>
    <w:r>
      <w:rPr>
        <w:rFonts w:ascii="Arial" w:hAnsi="Arial" w:cs="Arial"/>
        <w:i/>
        <w:iCs/>
        <w:color w:val="808080" w:themeColor="background1" w:themeShade="80"/>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EC2AC" w14:textId="77777777" w:rsidR="009516FA" w:rsidRDefault="009516FA" w:rsidP="001E09EE">
      <w:pPr>
        <w:spacing w:after="0" w:line="240" w:lineRule="auto"/>
      </w:pPr>
      <w:r>
        <w:separator/>
      </w:r>
    </w:p>
  </w:footnote>
  <w:footnote w:type="continuationSeparator" w:id="0">
    <w:p w14:paraId="418AE49F" w14:textId="77777777" w:rsidR="009516FA" w:rsidRDefault="009516FA" w:rsidP="001E09E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02DC6" w14:textId="77777777" w:rsidR="009516FA" w:rsidRDefault="009516FA" w:rsidP="00C9231D">
    <w:pPr>
      <w:pStyle w:val="Header"/>
      <w:rPr>
        <w:rFonts w:ascii="Arial" w:hAnsi="Arial"/>
        <w:color w:val="808080" w:themeColor="background1" w:themeShade="80"/>
        <w:sz w:val="32"/>
        <w:szCs w:val="32"/>
      </w:rPr>
    </w:pPr>
    <w:r w:rsidRPr="00F44A3A">
      <w:rPr>
        <w:rFonts w:ascii="Arial" w:hAnsi="Arial"/>
        <w:noProof/>
        <w:color w:val="808080" w:themeColor="background1" w:themeShade="80"/>
        <w:sz w:val="32"/>
        <w:szCs w:val="32"/>
      </w:rPr>
      <w:drawing>
        <wp:anchor distT="0" distB="0" distL="114300" distR="114300" simplePos="0" relativeHeight="251665920" behindDoc="0" locked="0" layoutInCell="1" allowOverlap="1" wp14:anchorId="61ADB9D6" wp14:editId="60BF4213">
          <wp:simplePos x="0" y="0"/>
          <wp:positionH relativeFrom="column">
            <wp:posOffset>5099050</wp:posOffset>
          </wp:positionH>
          <wp:positionV relativeFrom="paragraph">
            <wp:posOffset>-154305</wp:posOffset>
          </wp:positionV>
          <wp:extent cx="1816100" cy="6800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_RR_Wordmark.png"/>
                  <pic:cNvPicPr/>
                </pic:nvPicPr>
                <pic:blipFill>
                  <a:blip r:embed="rId1">
                    <a:extLst>
                      <a:ext uri="{28A0092B-C50C-407E-A947-70E740481C1C}">
                        <a14:useLocalDpi xmlns:a14="http://schemas.microsoft.com/office/drawing/2010/main" val="0"/>
                      </a:ext>
                    </a:extLst>
                  </a:blip>
                  <a:stretch>
                    <a:fillRect/>
                  </a:stretch>
                </pic:blipFill>
                <pic:spPr>
                  <a:xfrm>
                    <a:off x="0" y="0"/>
                    <a:ext cx="1816100" cy="680085"/>
                  </a:xfrm>
                  <a:prstGeom prst="rect">
                    <a:avLst/>
                  </a:prstGeom>
                </pic:spPr>
              </pic:pic>
            </a:graphicData>
          </a:graphic>
        </wp:anchor>
      </w:drawing>
    </w:r>
    <w:r>
      <w:rPr>
        <w:rFonts w:ascii="Arial" w:hAnsi="Arial"/>
        <w:color w:val="808080" w:themeColor="background1" w:themeShade="80"/>
        <w:sz w:val="32"/>
        <w:szCs w:val="32"/>
      </w:rPr>
      <w:t>Ready Rating Overview Announcement</w:t>
    </w:r>
  </w:p>
  <w:p w14:paraId="0D8CC30F" w14:textId="4488D6AD" w:rsidR="009516FA" w:rsidRPr="00F44A3A" w:rsidRDefault="009516FA" w:rsidP="00C9231D">
    <w:pPr>
      <w:pStyle w:val="Header"/>
      <w:rPr>
        <w:rFonts w:ascii="Arial" w:hAnsi="Arial"/>
        <w:color w:val="808080" w:themeColor="background1" w:themeShade="80"/>
        <w:sz w:val="32"/>
        <w:szCs w:val="32"/>
      </w:rPr>
    </w:pPr>
    <w:r>
      <w:rPr>
        <w:rFonts w:ascii="Arial" w:hAnsi="Arial"/>
        <w:color w:val="808080" w:themeColor="background1" w:themeShade="80"/>
        <w:sz w:val="32"/>
        <w:szCs w:val="32"/>
      </w:rPr>
      <w:t>(Sample Text)</w:t>
    </w:r>
  </w:p>
  <w:p w14:paraId="6C23BEFC" w14:textId="77777777" w:rsidR="009516FA" w:rsidRDefault="009516FA" w:rsidP="001E09EE">
    <w:pPr>
      <w:pStyle w:val="Header"/>
    </w:pPr>
    <w:r w:rsidRPr="00984667">
      <w:rPr>
        <w:i/>
        <w:noProof/>
        <w:color w:val="808080" w:themeColor="background1" w:themeShade="80"/>
        <w:sz w:val="20"/>
      </w:rPr>
      <w:drawing>
        <wp:anchor distT="0" distB="0" distL="114300" distR="114300" simplePos="0" relativeHeight="251664896" behindDoc="1" locked="0" layoutInCell="1" allowOverlap="1" wp14:anchorId="2456ABFE" wp14:editId="2C1107FD">
          <wp:simplePos x="0" y="0"/>
          <wp:positionH relativeFrom="column">
            <wp:posOffset>-488950</wp:posOffset>
          </wp:positionH>
          <wp:positionV relativeFrom="paragraph">
            <wp:posOffset>116840</wp:posOffset>
          </wp:positionV>
          <wp:extent cx="7772400" cy="1587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5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4667">
      <w:rPr>
        <w:sz w:val="32"/>
      </w:rP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3DD"/>
    <w:multiLevelType w:val="hybridMultilevel"/>
    <w:tmpl w:val="3358225A"/>
    <w:lvl w:ilvl="0" w:tplc="73CA7A24">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21259B"/>
    <w:multiLevelType w:val="hybridMultilevel"/>
    <w:tmpl w:val="CF78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E7708"/>
    <w:multiLevelType w:val="hybridMultilevel"/>
    <w:tmpl w:val="5F9C76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05BE7AA3"/>
    <w:multiLevelType w:val="hybridMultilevel"/>
    <w:tmpl w:val="31F63A62"/>
    <w:lvl w:ilvl="0" w:tplc="73CA7A2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349FD"/>
    <w:multiLevelType w:val="hybridMultilevel"/>
    <w:tmpl w:val="6DEC806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nsid w:val="0B28274F"/>
    <w:multiLevelType w:val="hybridMultilevel"/>
    <w:tmpl w:val="9398D43A"/>
    <w:lvl w:ilvl="0" w:tplc="73CA7A2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6848DB"/>
    <w:multiLevelType w:val="hybridMultilevel"/>
    <w:tmpl w:val="5BF6653C"/>
    <w:lvl w:ilvl="0" w:tplc="73CA7A24">
      <w:start w:val="1"/>
      <w:numFmt w:val="bullet"/>
      <w:lvlText w:val="o"/>
      <w:lvlJc w:val="left"/>
      <w:pPr>
        <w:ind w:left="1440" w:hanging="360"/>
      </w:pPr>
      <w:rPr>
        <w:rFonts w:ascii="Wingdings" w:hAnsi="Wingdings" w:hint="default"/>
      </w:rPr>
    </w:lvl>
    <w:lvl w:ilvl="1" w:tplc="73CA7A24">
      <w:start w:val="1"/>
      <w:numFmt w:val="bullet"/>
      <w:lvlText w:val="o"/>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0C6485"/>
    <w:multiLevelType w:val="hybridMultilevel"/>
    <w:tmpl w:val="15EC55AC"/>
    <w:lvl w:ilvl="0" w:tplc="73CA7A24">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D080D"/>
    <w:multiLevelType w:val="hybridMultilevel"/>
    <w:tmpl w:val="65D4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7E380D"/>
    <w:multiLevelType w:val="hybridMultilevel"/>
    <w:tmpl w:val="1E74A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4F1634F"/>
    <w:multiLevelType w:val="hybridMultilevel"/>
    <w:tmpl w:val="0D6E9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0211BE"/>
    <w:multiLevelType w:val="hybridMultilevel"/>
    <w:tmpl w:val="993ABC32"/>
    <w:lvl w:ilvl="0" w:tplc="73CA7A24">
      <w:start w:val="1"/>
      <w:numFmt w:val="bullet"/>
      <w:lvlText w:val="o"/>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nsid w:val="37155299"/>
    <w:multiLevelType w:val="hybridMultilevel"/>
    <w:tmpl w:val="F68A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7A13D7"/>
    <w:multiLevelType w:val="hybridMultilevel"/>
    <w:tmpl w:val="2428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6E45A0"/>
    <w:multiLevelType w:val="hybridMultilevel"/>
    <w:tmpl w:val="A9943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964D50"/>
    <w:multiLevelType w:val="hybridMultilevel"/>
    <w:tmpl w:val="733098CE"/>
    <w:lvl w:ilvl="0" w:tplc="73CA7A24">
      <w:start w:val="1"/>
      <w:numFmt w:val="bullet"/>
      <w:lvlText w:val="o"/>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3FD100AC"/>
    <w:multiLevelType w:val="hybridMultilevel"/>
    <w:tmpl w:val="FCECA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C034D9"/>
    <w:multiLevelType w:val="hybridMultilevel"/>
    <w:tmpl w:val="3BB86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7D36DE"/>
    <w:multiLevelType w:val="hybridMultilevel"/>
    <w:tmpl w:val="5A0610FA"/>
    <w:lvl w:ilvl="0" w:tplc="73CA7A2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DE420A"/>
    <w:multiLevelType w:val="hybridMultilevel"/>
    <w:tmpl w:val="7708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383EE9"/>
    <w:multiLevelType w:val="hybridMultilevel"/>
    <w:tmpl w:val="8170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EF143B"/>
    <w:multiLevelType w:val="hybridMultilevel"/>
    <w:tmpl w:val="832A5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0B48E1"/>
    <w:multiLevelType w:val="hybridMultilevel"/>
    <w:tmpl w:val="6AA0D8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FF24B1E"/>
    <w:multiLevelType w:val="hybridMultilevel"/>
    <w:tmpl w:val="F0B2A57E"/>
    <w:lvl w:ilvl="0" w:tplc="04090001">
      <w:start w:val="1"/>
      <w:numFmt w:val="bullet"/>
      <w:lvlText w:val=""/>
      <w:lvlJc w:val="left"/>
      <w:pPr>
        <w:tabs>
          <w:tab w:val="num" w:pos="1080"/>
        </w:tabs>
        <w:ind w:left="1080" w:hanging="360"/>
      </w:pPr>
      <w:rPr>
        <w:rFonts w:ascii="Symbol" w:hAnsi="Symbol" w:hint="default"/>
        <w:b w:val="0"/>
        <w:i w:val="0"/>
      </w:rPr>
    </w:lvl>
    <w:lvl w:ilvl="1" w:tplc="8C728FE0" w:tentative="1">
      <w:start w:val="1"/>
      <w:numFmt w:val="lowerLetter"/>
      <w:lvlText w:val="%2."/>
      <w:lvlJc w:val="left"/>
      <w:pPr>
        <w:tabs>
          <w:tab w:val="num" w:pos="2160"/>
        </w:tabs>
        <w:ind w:left="2160" w:hanging="360"/>
      </w:pPr>
    </w:lvl>
    <w:lvl w:ilvl="2" w:tplc="CFBAAE0C" w:tentative="1">
      <w:start w:val="1"/>
      <w:numFmt w:val="lowerRoman"/>
      <w:lvlText w:val="%3."/>
      <w:lvlJc w:val="right"/>
      <w:pPr>
        <w:tabs>
          <w:tab w:val="num" w:pos="2880"/>
        </w:tabs>
        <w:ind w:left="2880" w:hanging="180"/>
      </w:pPr>
    </w:lvl>
    <w:lvl w:ilvl="3" w:tplc="04090019" w:tentative="1">
      <w:start w:val="1"/>
      <w:numFmt w:val="decimal"/>
      <w:lvlText w:val="%4."/>
      <w:lvlJc w:val="left"/>
      <w:pPr>
        <w:tabs>
          <w:tab w:val="num" w:pos="3600"/>
        </w:tabs>
        <w:ind w:left="3600" w:hanging="360"/>
      </w:pPr>
    </w:lvl>
    <w:lvl w:ilvl="4" w:tplc="0409001B" w:tentative="1">
      <w:start w:val="1"/>
      <w:numFmt w:val="lowerLetter"/>
      <w:lvlText w:val="%5."/>
      <w:lvlJc w:val="left"/>
      <w:pPr>
        <w:tabs>
          <w:tab w:val="num" w:pos="4320"/>
        </w:tabs>
        <w:ind w:left="4320" w:hanging="360"/>
      </w:pPr>
    </w:lvl>
    <w:lvl w:ilvl="5" w:tplc="FC6A0808"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0441981"/>
    <w:multiLevelType w:val="hybridMultilevel"/>
    <w:tmpl w:val="39FAAE4E"/>
    <w:lvl w:ilvl="0" w:tplc="73CA7A24">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9B6BA1"/>
    <w:multiLevelType w:val="hybridMultilevel"/>
    <w:tmpl w:val="944A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812102"/>
    <w:multiLevelType w:val="hybridMultilevel"/>
    <w:tmpl w:val="006694F0"/>
    <w:lvl w:ilvl="0" w:tplc="04090001">
      <w:start w:val="1"/>
      <w:numFmt w:val="bullet"/>
      <w:lvlText w:val=""/>
      <w:lvlJc w:val="left"/>
      <w:pPr>
        <w:ind w:left="720" w:hanging="360"/>
      </w:pPr>
      <w:rPr>
        <w:rFonts w:ascii="Symbol" w:hAnsi="Symbol" w:hint="default"/>
      </w:rPr>
    </w:lvl>
    <w:lvl w:ilvl="1" w:tplc="73CA7A24">
      <w:start w:val="1"/>
      <w:numFmt w:val="bullet"/>
      <w:lvlText w:val="o"/>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2C55BA"/>
    <w:multiLevelType w:val="hybridMultilevel"/>
    <w:tmpl w:val="2304DCE4"/>
    <w:lvl w:ilvl="0" w:tplc="73CA7A24">
      <w:start w:val="1"/>
      <w:numFmt w:val="bullet"/>
      <w:lvlText w:val="o"/>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8">
    <w:nsid w:val="597E7F21"/>
    <w:multiLevelType w:val="hybridMultilevel"/>
    <w:tmpl w:val="DD3E1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1BB0A8A"/>
    <w:multiLevelType w:val="hybridMultilevel"/>
    <w:tmpl w:val="854C3DC2"/>
    <w:lvl w:ilvl="0" w:tplc="73CA7A24">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D352B4"/>
    <w:multiLevelType w:val="hybridMultilevel"/>
    <w:tmpl w:val="2068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20085A"/>
    <w:multiLevelType w:val="hybridMultilevel"/>
    <w:tmpl w:val="3FAE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731ED9"/>
    <w:multiLevelType w:val="hybridMultilevel"/>
    <w:tmpl w:val="3CFC0DF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74140589"/>
    <w:multiLevelType w:val="hybridMultilevel"/>
    <w:tmpl w:val="20582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7193BD7"/>
    <w:multiLevelType w:val="hybridMultilevel"/>
    <w:tmpl w:val="C506E854"/>
    <w:lvl w:ilvl="0" w:tplc="73CA7A24">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5252B4"/>
    <w:multiLevelType w:val="hybridMultilevel"/>
    <w:tmpl w:val="191A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3A05D4"/>
    <w:multiLevelType w:val="hybridMultilevel"/>
    <w:tmpl w:val="AE801662"/>
    <w:lvl w:ilvl="0" w:tplc="73CA7A24">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A21C33"/>
    <w:multiLevelType w:val="hybridMultilevel"/>
    <w:tmpl w:val="16B8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C15F1D"/>
    <w:multiLevelType w:val="hybridMultilevel"/>
    <w:tmpl w:val="6DC8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93557B"/>
    <w:multiLevelType w:val="multilevel"/>
    <w:tmpl w:val="0E50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3"/>
  </w:num>
  <w:num w:numId="3">
    <w:abstractNumId w:val="16"/>
  </w:num>
  <w:num w:numId="4">
    <w:abstractNumId w:val="33"/>
  </w:num>
  <w:num w:numId="5">
    <w:abstractNumId w:val="17"/>
  </w:num>
  <w:num w:numId="6">
    <w:abstractNumId w:val="28"/>
  </w:num>
  <w:num w:numId="7">
    <w:abstractNumId w:val="9"/>
  </w:num>
  <w:num w:numId="8">
    <w:abstractNumId w:val="13"/>
  </w:num>
  <w:num w:numId="9">
    <w:abstractNumId w:val="30"/>
  </w:num>
  <w:num w:numId="10">
    <w:abstractNumId w:val="38"/>
  </w:num>
  <w:num w:numId="11">
    <w:abstractNumId w:val="1"/>
  </w:num>
  <w:num w:numId="12">
    <w:abstractNumId w:val="12"/>
  </w:num>
  <w:num w:numId="13">
    <w:abstractNumId w:val="25"/>
  </w:num>
  <w:num w:numId="14">
    <w:abstractNumId w:val="35"/>
  </w:num>
  <w:num w:numId="15">
    <w:abstractNumId w:val="20"/>
  </w:num>
  <w:num w:numId="16">
    <w:abstractNumId w:val="19"/>
  </w:num>
  <w:num w:numId="17">
    <w:abstractNumId w:val="37"/>
  </w:num>
  <w:num w:numId="18">
    <w:abstractNumId w:val="10"/>
  </w:num>
  <w:num w:numId="19">
    <w:abstractNumId w:val="21"/>
  </w:num>
  <w:num w:numId="20">
    <w:abstractNumId w:val="32"/>
  </w:num>
  <w:num w:numId="21">
    <w:abstractNumId w:val="2"/>
  </w:num>
  <w:num w:numId="22">
    <w:abstractNumId w:val="8"/>
  </w:num>
  <w:num w:numId="23">
    <w:abstractNumId w:val="15"/>
  </w:num>
  <w:num w:numId="24">
    <w:abstractNumId w:val="34"/>
  </w:num>
  <w:num w:numId="25">
    <w:abstractNumId w:val="26"/>
  </w:num>
  <w:num w:numId="26">
    <w:abstractNumId w:val="27"/>
  </w:num>
  <w:num w:numId="27">
    <w:abstractNumId w:val="6"/>
  </w:num>
  <w:num w:numId="28">
    <w:abstractNumId w:val="11"/>
  </w:num>
  <w:num w:numId="29">
    <w:abstractNumId w:val="3"/>
  </w:num>
  <w:num w:numId="30">
    <w:abstractNumId w:val="36"/>
  </w:num>
  <w:num w:numId="31">
    <w:abstractNumId w:val="0"/>
  </w:num>
  <w:num w:numId="32">
    <w:abstractNumId w:val="29"/>
  </w:num>
  <w:num w:numId="33">
    <w:abstractNumId w:val="24"/>
  </w:num>
  <w:num w:numId="34">
    <w:abstractNumId w:val="7"/>
  </w:num>
  <w:num w:numId="35">
    <w:abstractNumId w:val="18"/>
  </w:num>
  <w:num w:numId="36">
    <w:abstractNumId w:val="5"/>
  </w:num>
  <w:num w:numId="37">
    <w:abstractNumId w:val="14"/>
  </w:num>
  <w:num w:numId="38">
    <w:abstractNumId w:val="4"/>
  </w:num>
  <w:num w:numId="39">
    <w:abstractNumId w:val="31"/>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EE"/>
    <w:rsid w:val="000A0765"/>
    <w:rsid w:val="0011007F"/>
    <w:rsid w:val="00112026"/>
    <w:rsid w:val="001C7BBB"/>
    <w:rsid w:val="001E09EE"/>
    <w:rsid w:val="001F445A"/>
    <w:rsid w:val="0021337A"/>
    <w:rsid w:val="003F2028"/>
    <w:rsid w:val="0040748E"/>
    <w:rsid w:val="005358B7"/>
    <w:rsid w:val="00536B73"/>
    <w:rsid w:val="005E6F9F"/>
    <w:rsid w:val="006C4889"/>
    <w:rsid w:val="006E77E9"/>
    <w:rsid w:val="0070550E"/>
    <w:rsid w:val="00753F5D"/>
    <w:rsid w:val="00771CAB"/>
    <w:rsid w:val="00774B49"/>
    <w:rsid w:val="007A6C43"/>
    <w:rsid w:val="007B23D1"/>
    <w:rsid w:val="007C28A3"/>
    <w:rsid w:val="00825ADE"/>
    <w:rsid w:val="00881367"/>
    <w:rsid w:val="008E0BA3"/>
    <w:rsid w:val="008F08FC"/>
    <w:rsid w:val="008F75E1"/>
    <w:rsid w:val="009516FA"/>
    <w:rsid w:val="00984667"/>
    <w:rsid w:val="009B3F53"/>
    <w:rsid w:val="009C7EC8"/>
    <w:rsid w:val="009D4AEB"/>
    <w:rsid w:val="00AE564E"/>
    <w:rsid w:val="00B63533"/>
    <w:rsid w:val="00C01753"/>
    <w:rsid w:val="00C544B8"/>
    <w:rsid w:val="00C9231D"/>
    <w:rsid w:val="00CD317D"/>
    <w:rsid w:val="00D3572C"/>
    <w:rsid w:val="00D73EB5"/>
    <w:rsid w:val="00E421EA"/>
    <w:rsid w:val="00EA0FC8"/>
    <w:rsid w:val="00ED21ED"/>
    <w:rsid w:val="00ED3AB7"/>
    <w:rsid w:val="00F44A3A"/>
    <w:rsid w:val="00FA439A"/>
    <w:rsid w:val="00FF0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B9A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8FC"/>
  </w:style>
  <w:style w:type="paragraph" w:styleId="Heading1">
    <w:name w:val="heading 1"/>
    <w:basedOn w:val="Normal"/>
    <w:next w:val="Normal"/>
    <w:link w:val="Heading1Char"/>
    <w:uiPriority w:val="9"/>
    <w:qFormat/>
    <w:rsid w:val="00B635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63533"/>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B63533"/>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B635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9EE"/>
  </w:style>
  <w:style w:type="paragraph" w:styleId="Footer">
    <w:name w:val="footer"/>
    <w:basedOn w:val="Normal"/>
    <w:link w:val="FooterChar"/>
    <w:uiPriority w:val="99"/>
    <w:unhideWhenUsed/>
    <w:rsid w:val="001E0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9EE"/>
  </w:style>
  <w:style w:type="paragraph" w:styleId="BalloonText">
    <w:name w:val="Balloon Text"/>
    <w:basedOn w:val="Normal"/>
    <w:link w:val="BalloonTextChar"/>
    <w:uiPriority w:val="99"/>
    <w:semiHidden/>
    <w:unhideWhenUsed/>
    <w:rsid w:val="001E0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9EE"/>
    <w:rPr>
      <w:rFonts w:ascii="Tahoma" w:hAnsi="Tahoma" w:cs="Tahoma"/>
      <w:sz w:val="16"/>
      <w:szCs w:val="16"/>
    </w:rPr>
  </w:style>
  <w:style w:type="character" w:customStyle="1" w:styleId="Heading2Char">
    <w:name w:val="Heading 2 Char"/>
    <w:basedOn w:val="DefaultParagraphFont"/>
    <w:link w:val="Heading2"/>
    <w:rsid w:val="00B63533"/>
    <w:rPr>
      <w:rFonts w:ascii="Arial" w:eastAsia="Times New Roman" w:hAnsi="Arial" w:cs="Arial"/>
      <w:b/>
      <w:bCs/>
      <w:i/>
      <w:iCs/>
      <w:sz w:val="28"/>
      <w:szCs w:val="28"/>
    </w:rPr>
  </w:style>
  <w:style w:type="character" w:customStyle="1" w:styleId="Heading3Char">
    <w:name w:val="Heading 3 Char"/>
    <w:basedOn w:val="DefaultParagraphFont"/>
    <w:link w:val="Heading3"/>
    <w:rsid w:val="00B63533"/>
    <w:rPr>
      <w:rFonts w:ascii="Arial" w:eastAsia="Times New Roman" w:hAnsi="Arial" w:cs="Arial"/>
      <w:b/>
      <w:bCs/>
      <w:sz w:val="26"/>
      <w:szCs w:val="26"/>
    </w:rPr>
  </w:style>
  <w:style w:type="paragraph" w:styleId="NormalWeb">
    <w:name w:val="Normal (Web)"/>
    <w:basedOn w:val="Normal"/>
    <w:rsid w:val="00B63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
    <w:name w:val="Char Char"/>
    <w:basedOn w:val="DefaultParagraphFont"/>
    <w:rsid w:val="00B63533"/>
    <w:rPr>
      <w:b/>
      <w:bCs/>
      <w:i/>
      <w:iCs/>
      <w:sz w:val="24"/>
      <w:szCs w:val="24"/>
      <w:lang w:val="en-US" w:eastAsia="en-US" w:bidi="ar-SA"/>
    </w:rPr>
  </w:style>
  <w:style w:type="character" w:customStyle="1" w:styleId="Heading1Char">
    <w:name w:val="Heading 1 Char"/>
    <w:basedOn w:val="DefaultParagraphFont"/>
    <w:link w:val="Heading1"/>
    <w:uiPriority w:val="9"/>
    <w:rsid w:val="00B6353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B6353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A0765"/>
    <w:pPr>
      <w:ind w:left="720"/>
      <w:contextualSpacing/>
    </w:pPr>
  </w:style>
  <w:style w:type="paragraph" w:styleId="TOCHeading">
    <w:name w:val="TOC Heading"/>
    <w:basedOn w:val="Heading1"/>
    <w:next w:val="Normal"/>
    <w:uiPriority w:val="39"/>
    <w:semiHidden/>
    <w:unhideWhenUsed/>
    <w:qFormat/>
    <w:rsid w:val="005E6F9F"/>
    <w:pPr>
      <w:outlineLvl w:val="9"/>
    </w:pPr>
  </w:style>
  <w:style w:type="paragraph" w:styleId="TOC1">
    <w:name w:val="toc 1"/>
    <w:basedOn w:val="Normal"/>
    <w:next w:val="Normal"/>
    <w:autoRedefine/>
    <w:uiPriority w:val="39"/>
    <w:unhideWhenUsed/>
    <w:rsid w:val="005E6F9F"/>
    <w:pPr>
      <w:spacing w:after="100"/>
    </w:pPr>
  </w:style>
  <w:style w:type="paragraph" w:styleId="TOC2">
    <w:name w:val="toc 2"/>
    <w:basedOn w:val="Normal"/>
    <w:next w:val="Normal"/>
    <w:autoRedefine/>
    <w:uiPriority w:val="39"/>
    <w:unhideWhenUsed/>
    <w:rsid w:val="005E6F9F"/>
    <w:pPr>
      <w:spacing w:after="100"/>
      <w:ind w:left="220"/>
    </w:pPr>
  </w:style>
  <w:style w:type="paragraph" w:styleId="TOC3">
    <w:name w:val="toc 3"/>
    <w:basedOn w:val="Normal"/>
    <w:next w:val="Normal"/>
    <w:autoRedefine/>
    <w:uiPriority w:val="39"/>
    <w:unhideWhenUsed/>
    <w:rsid w:val="005E6F9F"/>
    <w:pPr>
      <w:spacing w:after="100"/>
      <w:ind w:left="440"/>
    </w:pPr>
  </w:style>
  <w:style w:type="character" w:styleId="Hyperlink">
    <w:name w:val="Hyperlink"/>
    <w:basedOn w:val="DefaultParagraphFont"/>
    <w:uiPriority w:val="99"/>
    <w:unhideWhenUsed/>
    <w:rsid w:val="005E6F9F"/>
    <w:rPr>
      <w:color w:val="0000FF" w:themeColor="hyperlink"/>
      <w:u w:val="single"/>
    </w:rPr>
  </w:style>
  <w:style w:type="character" w:styleId="Strong">
    <w:name w:val="Strong"/>
    <w:basedOn w:val="DefaultParagraphFont"/>
    <w:uiPriority w:val="22"/>
    <w:qFormat/>
    <w:rsid w:val="00C01753"/>
    <w:rPr>
      <w:b/>
      <w:bCs/>
    </w:rPr>
  </w:style>
  <w:style w:type="character" w:customStyle="1" w:styleId="apple-converted-space">
    <w:name w:val="apple-converted-space"/>
    <w:basedOn w:val="DefaultParagraphFont"/>
    <w:rsid w:val="00C017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8FC"/>
  </w:style>
  <w:style w:type="paragraph" w:styleId="Heading1">
    <w:name w:val="heading 1"/>
    <w:basedOn w:val="Normal"/>
    <w:next w:val="Normal"/>
    <w:link w:val="Heading1Char"/>
    <w:uiPriority w:val="9"/>
    <w:qFormat/>
    <w:rsid w:val="00B635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63533"/>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B63533"/>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B635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9EE"/>
  </w:style>
  <w:style w:type="paragraph" w:styleId="Footer">
    <w:name w:val="footer"/>
    <w:basedOn w:val="Normal"/>
    <w:link w:val="FooterChar"/>
    <w:uiPriority w:val="99"/>
    <w:unhideWhenUsed/>
    <w:rsid w:val="001E0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9EE"/>
  </w:style>
  <w:style w:type="paragraph" w:styleId="BalloonText">
    <w:name w:val="Balloon Text"/>
    <w:basedOn w:val="Normal"/>
    <w:link w:val="BalloonTextChar"/>
    <w:uiPriority w:val="99"/>
    <w:semiHidden/>
    <w:unhideWhenUsed/>
    <w:rsid w:val="001E0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9EE"/>
    <w:rPr>
      <w:rFonts w:ascii="Tahoma" w:hAnsi="Tahoma" w:cs="Tahoma"/>
      <w:sz w:val="16"/>
      <w:szCs w:val="16"/>
    </w:rPr>
  </w:style>
  <w:style w:type="character" w:customStyle="1" w:styleId="Heading2Char">
    <w:name w:val="Heading 2 Char"/>
    <w:basedOn w:val="DefaultParagraphFont"/>
    <w:link w:val="Heading2"/>
    <w:rsid w:val="00B63533"/>
    <w:rPr>
      <w:rFonts w:ascii="Arial" w:eastAsia="Times New Roman" w:hAnsi="Arial" w:cs="Arial"/>
      <w:b/>
      <w:bCs/>
      <w:i/>
      <w:iCs/>
      <w:sz w:val="28"/>
      <w:szCs w:val="28"/>
    </w:rPr>
  </w:style>
  <w:style w:type="character" w:customStyle="1" w:styleId="Heading3Char">
    <w:name w:val="Heading 3 Char"/>
    <w:basedOn w:val="DefaultParagraphFont"/>
    <w:link w:val="Heading3"/>
    <w:rsid w:val="00B63533"/>
    <w:rPr>
      <w:rFonts w:ascii="Arial" w:eastAsia="Times New Roman" w:hAnsi="Arial" w:cs="Arial"/>
      <w:b/>
      <w:bCs/>
      <w:sz w:val="26"/>
      <w:szCs w:val="26"/>
    </w:rPr>
  </w:style>
  <w:style w:type="paragraph" w:styleId="NormalWeb">
    <w:name w:val="Normal (Web)"/>
    <w:basedOn w:val="Normal"/>
    <w:rsid w:val="00B63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
    <w:name w:val="Char Char"/>
    <w:basedOn w:val="DefaultParagraphFont"/>
    <w:rsid w:val="00B63533"/>
    <w:rPr>
      <w:b/>
      <w:bCs/>
      <w:i/>
      <w:iCs/>
      <w:sz w:val="24"/>
      <w:szCs w:val="24"/>
      <w:lang w:val="en-US" w:eastAsia="en-US" w:bidi="ar-SA"/>
    </w:rPr>
  </w:style>
  <w:style w:type="character" w:customStyle="1" w:styleId="Heading1Char">
    <w:name w:val="Heading 1 Char"/>
    <w:basedOn w:val="DefaultParagraphFont"/>
    <w:link w:val="Heading1"/>
    <w:uiPriority w:val="9"/>
    <w:rsid w:val="00B6353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B6353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A0765"/>
    <w:pPr>
      <w:ind w:left="720"/>
      <w:contextualSpacing/>
    </w:pPr>
  </w:style>
  <w:style w:type="paragraph" w:styleId="TOCHeading">
    <w:name w:val="TOC Heading"/>
    <w:basedOn w:val="Heading1"/>
    <w:next w:val="Normal"/>
    <w:uiPriority w:val="39"/>
    <w:semiHidden/>
    <w:unhideWhenUsed/>
    <w:qFormat/>
    <w:rsid w:val="005E6F9F"/>
    <w:pPr>
      <w:outlineLvl w:val="9"/>
    </w:pPr>
  </w:style>
  <w:style w:type="paragraph" w:styleId="TOC1">
    <w:name w:val="toc 1"/>
    <w:basedOn w:val="Normal"/>
    <w:next w:val="Normal"/>
    <w:autoRedefine/>
    <w:uiPriority w:val="39"/>
    <w:unhideWhenUsed/>
    <w:rsid w:val="005E6F9F"/>
    <w:pPr>
      <w:spacing w:after="100"/>
    </w:pPr>
  </w:style>
  <w:style w:type="paragraph" w:styleId="TOC2">
    <w:name w:val="toc 2"/>
    <w:basedOn w:val="Normal"/>
    <w:next w:val="Normal"/>
    <w:autoRedefine/>
    <w:uiPriority w:val="39"/>
    <w:unhideWhenUsed/>
    <w:rsid w:val="005E6F9F"/>
    <w:pPr>
      <w:spacing w:after="100"/>
      <w:ind w:left="220"/>
    </w:pPr>
  </w:style>
  <w:style w:type="paragraph" w:styleId="TOC3">
    <w:name w:val="toc 3"/>
    <w:basedOn w:val="Normal"/>
    <w:next w:val="Normal"/>
    <w:autoRedefine/>
    <w:uiPriority w:val="39"/>
    <w:unhideWhenUsed/>
    <w:rsid w:val="005E6F9F"/>
    <w:pPr>
      <w:spacing w:after="100"/>
      <w:ind w:left="440"/>
    </w:pPr>
  </w:style>
  <w:style w:type="character" w:styleId="Hyperlink">
    <w:name w:val="Hyperlink"/>
    <w:basedOn w:val="DefaultParagraphFont"/>
    <w:uiPriority w:val="99"/>
    <w:unhideWhenUsed/>
    <w:rsid w:val="005E6F9F"/>
    <w:rPr>
      <w:color w:val="0000FF" w:themeColor="hyperlink"/>
      <w:u w:val="single"/>
    </w:rPr>
  </w:style>
  <w:style w:type="character" w:styleId="Strong">
    <w:name w:val="Strong"/>
    <w:basedOn w:val="DefaultParagraphFont"/>
    <w:uiPriority w:val="22"/>
    <w:qFormat/>
    <w:rsid w:val="00C01753"/>
    <w:rPr>
      <w:b/>
      <w:bCs/>
    </w:rPr>
  </w:style>
  <w:style w:type="character" w:customStyle="1" w:styleId="apple-converted-space">
    <w:name w:val="apple-converted-space"/>
    <w:basedOn w:val="DefaultParagraphFont"/>
    <w:rsid w:val="00C01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55275">
      <w:bodyDiv w:val="1"/>
      <w:marLeft w:val="0"/>
      <w:marRight w:val="0"/>
      <w:marTop w:val="0"/>
      <w:marBottom w:val="0"/>
      <w:divBdr>
        <w:top w:val="none" w:sz="0" w:space="0" w:color="auto"/>
        <w:left w:val="none" w:sz="0" w:space="0" w:color="auto"/>
        <w:bottom w:val="none" w:sz="0" w:space="0" w:color="auto"/>
        <w:right w:val="none" w:sz="0" w:space="0" w:color="auto"/>
      </w:divBdr>
    </w:div>
    <w:div w:id="76718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3A00F-31E4-7D4E-8F25-41088C939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380</Words>
  <Characters>2172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American Red Cross</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HeyeckM</dc:creator>
  <cp:keywords/>
  <dc:description/>
  <cp:lastModifiedBy>Anthony Comito</cp:lastModifiedBy>
  <cp:revision>3</cp:revision>
  <dcterms:created xsi:type="dcterms:W3CDTF">2015-08-20T16:46:00Z</dcterms:created>
  <dcterms:modified xsi:type="dcterms:W3CDTF">2015-08-20T16:52:00Z</dcterms:modified>
</cp:coreProperties>
</file>